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B3" w:rsidRPr="00084FB3" w:rsidRDefault="00084FB3" w:rsidP="00084FB3">
      <w:pPr>
        <w:shd w:val="clear" w:color="auto" w:fill="FFFFFF"/>
        <w:spacing w:before="172" w:after="172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084FB3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Единые стандарты по рациону питания школьников введены в Казахстане</w:t>
      </w:r>
    </w:p>
    <w:p w:rsidR="00084FB3" w:rsidRPr="00084FB3" w:rsidRDefault="00084FB3" w:rsidP="00084F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17"/>
          <w:szCs w:val="17"/>
          <w:lang w:eastAsia="ru-RU"/>
        </w:rPr>
      </w:pP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Повышение алиментарно-зависимой заболеваемости детского населения связано недостаточностью витаминов и микроэлементов, организм быстро истощается в период активного роста и созревания на фоне неадекватного поступления питательных веществ с пищей. В связи с этим в Казахстане разработаны Единые стандарты по рациону питания школьников,  передает</w:t>
      </w:r>
      <w:r w:rsidRPr="00084FB3">
        <w:rPr>
          <w:rFonts w:ascii="Arial" w:eastAsia="Times New Roman" w:hAnsi="Arial" w:cs="Arial"/>
          <w:color w:val="2E2E2E"/>
          <w:sz w:val="17"/>
          <w:lang w:eastAsia="ru-RU"/>
        </w:rPr>
        <w:t> </w:t>
      </w:r>
      <w:proofErr w:type="spellStart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fldChar w:fldCharType="begin"/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instrText xml:space="preserve"> HYPERLINK "http://www.kazpravda.kz/" \t "_blank" </w:instrText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fldChar w:fldCharType="separate"/>
      </w:r>
      <w:r w:rsidRPr="00084FB3">
        <w:rPr>
          <w:rFonts w:ascii="Arial" w:eastAsia="Times New Roman" w:hAnsi="Arial" w:cs="Arial"/>
          <w:color w:val="0000FF"/>
          <w:sz w:val="17"/>
          <w:u w:val="single"/>
          <w:lang w:eastAsia="ru-RU"/>
        </w:rPr>
        <w:t>Kazpravda.kz</w:t>
      </w:r>
      <w:proofErr w:type="spellEnd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fldChar w:fldCharType="end"/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.</w:t>
      </w:r>
    </w:p>
    <w:p w:rsidR="00084FB3" w:rsidRPr="00084FB3" w:rsidRDefault="00084FB3" w:rsidP="00084F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E2E2E"/>
          <w:sz w:val="17"/>
          <w:szCs w:val="17"/>
          <w:lang w:eastAsia="ru-RU"/>
        </w:rPr>
        <w:drawing>
          <wp:inline distT="0" distB="0" distL="0" distR="0">
            <wp:extent cx="6810375" cy="3828415"/>
            <wp:effectExtent l="19050" t="0" r="9525" b="0"/>
            <wp:docPr id="1" name="Рисунок 1" descr="http://46.101.195.88/rails/active_storage/blobs/eyJfcmFpbHMiOnsibWVzc2FnZSI6IkJBaHBBZms9IiwiZXhwIjpudWxsLCJwdXIiOiJibG9iX2lkIn19--14b2c3add997c1535c4c2f1c06f1641bb459919a/1559103063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6.101.195.88/rails/active_storage/blobs/eyJfcmFpbHMiOnsibWVzc2FnZSI6IkJBaHBBZms9IiwiZXhwIjpudWxsLCJwdXIiOiJibG9iX2lkIn19--14b2c3add997c1535c4c2f1c06f1641bb459919a/15591030636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82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FB3" w:rsidRPr="00084FB3" w:rsidRDefault="00084FB3" w:rsidP="00084F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17"/>
          <w:szCs w:val="17"/>
          <w:lang w:eastAsia="ru-RU"/>
        </w:rPr>
      </w:pP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  <w:t>"Одной из наиболее актуальных проблем по сохранению и укреплению здоровья детей и подростков является обеспечение их полноценным питанием, отвечающим физиологическим и гигиеническим требованиям, как в количественном, так и в качественном отношении. Повышение алиментарно-зависимой заболеваемости детского населения обусловлено недостаточностью витаминов и микроэлементов, его быстрой истощаемостью в период активного роста и созревания на фоне неадекватного поступления питательных веществ с пищей", – сообщила руководитель Департамента охраны общественного здоровья  </w:t>
      </w:r>
      <w:proofErr w:type="spellStart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Алматы</w:t>
      </w:r>
      <w:proofErr w:type="spellEnd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 xml:space="preserve">  </w:t>
      </w:r>
      <w:proofErr w:type="spellStart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Айзат</w:t>
      </w:r>
      <w:proofErr w:type="spellEnd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 xml:space="preserve"> </w:t>
      </w:r>
      <w:proofErr w:type="spellStart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Молдагасимова</w:t>
      </w:r>
      <w:proofErr w:type="spellEnd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 xml:space="preserve"> на брифинге в </w:t>
      </w:r>
      <w:proofErr w:type="spellStart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Алматы</w:t>
      </w:r>
      <w:proofErr w:type="spellEnd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.</w:t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  <w:t>Спикер отметила, что основная цель внедрения Единых стандартов по рациону питания школьников – это сохранение и укрепление здоровья путем оптимизации питания, обеспечения безопасности, качества и доступности питания. Установлены унифицированные требования к организации питания школьников в общеобразовательных организациях города.</w:t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  <w:t>"Единые стандарты рациона питания школьников (4-недельные меню) для организации питания предусмотрены для трех возрастных групп учащихся (7-10 лет – 840 ккал, 11-14 лет – 951 ккал; 15-18 лет – 1020 ккал). При разработке меню учтены продолжительность пребывания обучающихся в школе, их возрастные категории, необходимость включения в рацион питания пищевой продукции, обогащенной витаминно-минеральным комплексом, энергетическая наполняемость", – сказала </w:t>
      </w:r>
      <w:proofErr w:type="spellStart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Молдагасимова</w:t>
      </w:r>
      <w:proofErr w:type="spellEnd"/>
      <w:proofErr w:type="gramStart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  <w:t>Т</w:t>
      </w:r>
      <w:proofErr w:type="gramEnd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ак, установлена необходимость удовлетворения потребности детей в энергии за счет школьных горячих завтраков или обедов на 38-40%;</w:t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  <w:t>Максимальное разнообразие продуктов и блюд, что обеспечено разработкой не двухнедельного меню, а четырехнедельного, с учетом сезонности (лето – осень, зима – весна) и включением в него всех основных групп продуктов. При двухнедельном меню не была предусмотрена сезонность.</w:t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  <w:t xml:space="preserve">В единых стандартах также полностью исключены </w:t>
      </w:r>
      <w:proofErr w:type="spellStart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фритюрная</w:t>
      </w:r>
      <w:proofErr w:type="spellEnd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 xml:space="preserve"> жарка, острые приправы (горчица, уксус, хрен и все возможные виды перца). В качестве приправ рекомендуют использовать зелень, петрушку, укроп, щавель. Кроме того, овощи не должны подвергаться тепловой обработке дольше установленных сроков.</w:t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lastRenderedPageBreak/>
        <w:br/>
        <w:t xml:space="preserve">"Из анализа четырехнедельного меню: два раза в неделю понедельник и пятница (мед, молоко), 3 раза неделю понедельник, среда, пятница </w:t>
      </w:r>
      <w:proofErr w:type="gramStart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–т</w:t>
      </w:r>
      <w:proofErr w:type="gramEnd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 xml:space="preserve">ворог, три раза в неделю вторник, четверг, суббота – салаты из овощей. Еженедельно по четвергам </w:t>
      </w:r>
      <w:proofErr w:type="gramStart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–р</w:t>
      </w:r>
      <w:proofErr w:type="gramEnd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ыба (припущенная, тушеная, котлеты, тефтели). Различные супы предусмотрены каждый день. На второе ежедневно предусмотрено – мясо говядина (рубленная, фарш), куры", – сказала она.</w:t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  <w:t> </w:t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  <w:t xml:space="preserve">Также сообщается, что недостаточное потребление воды нарушает нормальную </w:t>
      </w:r>
      <w:proofErr w:type="gramStart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жизнедеятельность</w:t>
      </w:r>
      <w:proofErr w:type="gramEnd"/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t xml:space="preserve"> появляется усталость и снижается работоспособность, нарушаются процессы пищеварения и усвоения пищи, замедляется течение биохимических реакций, увеличивается вязкость крови, что создает условие образования тромбов, нарушается процесс кроветворения.</w:t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</w:r>
      <w:r w:rsidRPr="00084FB3">
        <w:rPr>
          <w:rFonts w:ascii="Arial" w:eastAsia="Times New Roman" w:hAnsi="Arial" w:cs="Arial"/>
          <w:color w:val="2E2E2E"/>
          <w:sz w:val="17"/>
          <w:szCs w:val="17"/>
          <w:lang w:eastAsia="ru-RU"/>
        </w:rPr>
        <w:br/>
        <w:t>"Нормы общей суточной потребности школьников в питьевой воде: в возрасте 7 лет – 95 мл/кг; в возрасте 10 лет – 70 мл/кг; в возрасте 14 лет – 40 мл/кг. Администрации школ организуют горячее питание учащихся, арендатор столовой обеспечивает качественное и безопасное питание в пищеблоке", – отметила она.</w:t>
      </w:r>
    </w:p>
    <w:p w:rsidR="001F1A6E" w:rsidRDefault="001F1A6E"/>
    <w:sectPr w:rsidR="001F1A6E" w:rsidSect="001F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4FB3"/>
    <w:rsid w:val="00084FB3"/>
    <w:rsid w:val="001F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6E"/>
  </w:style>
  <w:style w:type="paragraph" w:styleId="1">
    <w:name w:val="heading 1"/>
    <w:basedOn w:val="a"/>
    <w:link w:val="10"/>
    <w:uiPriority w:val="9"/>
    <w:qFormat/>
    <w:rsid w:val="00084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4FB3"/>
  </w:style>
  <w:style w:type="character" w:styleId="a4">
    <w:name w:val="Hyperlink"/>
    <w:basedOn w:val="a0"/>
    <w:uiPriority w:val="99"/>
    <w:semiHidden/>
    <w:unhideWhenUsed/>
    <w:rsid w:val="00084F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807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>Alma TV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CTV</dc:creator>
  <cp:keywords/>
  <dc:description/>
  <cp:lastModifiedBy>CTV</cp:lastModifiedBy>
  <cp:revision>1</cp:revision>
  <dcterms:created xsi:type="dcterms:W3CDTF">2020-02-23T21:22:00Z</dcterms:created>
  <dcterms:modified xsi:type="dcterms:W3CDTF">2020-02-23T21:23:00Z</dcterms:modified>
</cp:coreProperties>
</file>